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3B" w:rsidRPr="00E0653B" w:rsidRDefault="00E0653B" w:rsidP="00E06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53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D6A16" w:rsidRPr="00E0653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653B" w:rsidRDefault="00E0653B" w:rsidP="00314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14288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288">
        <w:rPr>
          <w:rFonts w:ascii="Times New Roman" w:hAnsi="Times New Roman" w:cs="Times New Roman"/>
          <w:b/>
          <w:sz w:val="24"/>
          <w:szCs w:val="24"/>
        </w:rPr>
        <w:t xml:space="preserve">месяцев </w:t>
      </w:r>
      <w:r w:rsidR="007E5EC9">
        <w:rPr>
          <w:rFonts w:ascii="Times New Roman" w:hAnsi="Times New Roman" w:cs="Times New Roman"/>
          <w:b/>
          <w:sz w:val="24"/>
          <w:szCs w:val="24"/>
        </w:rPr>
        <w:t>2021</w:t>
      </w:r>
      <w:r w:rsidR="008E7F0F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4288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  <w:highlight w:val="yellow"/>
        </w:rPr>
      </w:pPr>
    </w:p>
    <w:p w:rsidR="003F06F7" w:rsidRPr="00D776A6" w:rsidRDefault="00FA1174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D776A6">
        <w:rPr>
          <w:rFonts w:ascii="Times New Roman" w:hAnsi="Times New Roman" w:cs="Times New Roman"/>
          <w:b/>
          <w:color w:val="171717"/>
          <w:sz w:val="24"/>
          <w:szCs w:val="24"/>
        </w:rPr>
        <w:t>Демографическая ситуация</w:t>
      </w:r>
    </w:p>
    <w:p w:rsidR="00666E7A" w:rsidRPr="00D776A6" w:rsidRDefault="00666E7A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Отделом ЗАГС Администрации МО «</w:t>
      </w:r>
      <w:proofErr w:type="spellStart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 за 2021 год зарегистрировано 783  акта  гражданского состояния (на 90 актов больше, чем в 2020 году). Из них  383 смерти,  204 рождения</w:t>
      </w:r>
      <w:r w:rsidRPr="00D776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70 браков, 69 разводов, 47 установлений отцовства, 9 перемен имени, 1 усыновление.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204 записей актов о рождении, что больше на 7 в сравнении с 2020 годом, 114 записей </w:t>
      </w:r>
      <w:proofErr w:type="gramStart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составлены</w:t>
      </w:r>
      <w:proofErr w:type="gramEnd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мальчиков, 90 – девочек.        </w:t>
      </w:r>
    </w:p>
    <w:p w:rsidR="00666E7A" w:rsidRPr="00D776A6" w:rsidRDefault="00666E7A" w:rsidP="00666E7A">
      <w:pPr>
        <w:tabs>
          <w:tab w:val="left" w:pos="1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Большинство малышей (73%) родились в семьях,  родители которых состоят в зарегистрированном браке, 56 детей (27%) рождены одинокими матерями (в их число входит количество рождений с установлением отцовства). </w:t>
      </w:r>
    </w:p>
    <w:p w:rsidR="00666E7A" w:rsidRPr="00D776A6" w:rsidRDefault="00666E7A" w:rsidP="00666E7A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Первых детей родилось - 36, вторых – 53, третьих-74, четвертых- 27, пятых -10, шестых – 4.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Смертей составлено 383 актов,  что  по количеству больше на 39 в сравнении с 2020 годом,  но из общего  числа умерших 13 человек иногородних, умерших на территории </w:t>
      </w:r>
      <w:proofErr w:type="spellStart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5 – без определенного места жительства.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Из 205 мужчин, 178 женщин большинство умерли в возрасте 70 лет и старше. Зарегистрирована смерть 5 детей в возрасте до 18 лет (до 1 года-2 ребёнка, 1-14 лет- 1 ребёнок, 15-17 лет- 2 ребёнка)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За 2021 год 8 человек погибли в ДТП, 2- умерли от п</w:t>
      </w:r>
      <w:r w:rsidR="00C64CFA"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ереохлаждения,  1 – в пожаре, 7</w:t>
      </w: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суицидов, 25 человек - от алкогольной зависимости и болезни печени, 2- при несчастных случаях, не связанных с производством, у  6 человек причина смерти не установлена, 7 убийств.</w:t>
      </w:r>
    </w:p>
    <w:p w:rsidR="00666E7A" w:rsidRPr="00D776A6" w:rsidRDefault="00666E7A" w:rsidP="00666E7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 25 актов увеличилось количество зарегистрированных браков, в сравнении с прошлым годом.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40 % браков зарегистрировано до истечения месячного срока, в 16 случаях причиной являлась беременность невесты, в 9- наличие у супругов общих детей. Зарегистрирован 1 брак с несовершеннолетней девушкой, 1 брак с гражданином Таджикистана.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32 мужчины, что большинство,  вступили в брак в возрасте 25 - 34 года, а 32 женщины, также большинство, в возрасте 18-24 года.  Из числа заключивших брак  для  57 мужчины и  52 женщин это первый брак.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24 акта увеличилось количество регистраций расторжений браков и составило 69 разводов.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84 %  расторжений браков зарегистрировано на основании решения суда,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16% по взаимному согласию супругов, не имеющих детей, не достигших совершеннолетия.        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 12 актов уменьшилось количество зарегистрированных актов об установлении отцовства и составило 47 актов. Из них 41 совместных заявления отца и матери ребенка, не состоящих в браке на момент рождения ребенка и 6 установлений отцовств на основании решения суда.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 2021 год зарегистрировано 9 перемен имени, 1 усыновление.</w:t>
      </w:r>
    </w:p>
    <w:p w:rsidR="00666E7A" w:rsidRPr="00D776A6" w:rsidRDefault="00666E7A" w:rsidP="00666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D776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 пар золотых юбиляров- 50 лет,  3 пары – 55 лет, 1 пара - 70 лет.</w:t>
      </w:r>
    </w:p>
    <w:p w:rsidR="00700386" w:rsidRPr="00D776A6" w:rsidRDefault="00700386" w:rsidP="00700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A16" w:rsidRPr="00D776A6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6A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666E7A" w:rsidRPr="00D776A6" w:rsidRDefault="00666E7A" w:rsidP="00666E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Филиал в городе Можге КУ УР «Республиканский центр социальных выплат» в рамках национального проекта «Демография» по проекту «Финансовая поддержка семей при рождении детей» по состоянию на 01 января 2022 года осуществил следующие выплаты гражданам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666E7A" w:rsidRPr="00D776A6" w:rsidRDefault="00666E7A" w:rsidP="00666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выплату получили 296 человек на сумму 22 298 985,37 рублей.</w:t>
      </w:r>
    </w:p>
    <w:p w:rsidR="00666E7A" w:rsidRPr="00D776A6" w:rsidRDefault="00666E7A" w:rsidP="00666E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Федеральный закон от 28.12.2017 № 418-ФЗ «О ежемесячных выплатах семьям, имеющим детей», в соответствии с которым предоставляется ежемесячная выплата семьям при рождении (усыновлении) первого ребенка. Выплата производится </w:t>
      </w:r>
      <w:proofErr w:type="gram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</w:t>
      </w:r>
      <w:proofErr w:type="gram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(усыновлением) первого ребенка в целях оказания финансовой поддержки семьям, имеющим детей, в которых среднедушевой доход на каждого члена семьи не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2-х-кратную величину прожиточного минимума (21990,00 руб.) трудоспособного населения.</w:t>
      </w:r>
      <w:r w:rsidRPr="00D776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назначения указанной выплаты установлен </w:t>
      </w:r>
      <w:r w:rsidRPr="00D7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3-х лет ребенку</w:t>
      </w:r>
      <w:r w:rsidRPr="00D776A6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.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выплаты на 1-го ребенка составлял 10518,00 рублей.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детей: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394 человека на сумму 37 383 164,84 рублей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E7A" w:rsidRPr="00D776A6" w:rsidRDefault="00666E7A" w:rsidP="00666E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666E7A" w:rsidRPr="00D776A6" w:rsidRDefault="00666E7A" w:rsidP="00666E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21990,00 рубля, установленного законодательством.</w:t>
      </w:r>
      <w:proofErr w:type="gram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выплаты на 3-го ребенка составлял 10518,00 рублей;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1068 человек на сумму 89 704 565,83 рубля.</w:t>
      </w:r>
    </w:p>
    <w:p w:rsidR="00666E7A" w:rsidRPr="00D776A6" w:rsidRDefault="00666E7A" w:rsidP="00666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 </w:t>
      </w:r>
    </w:p>
    <w:p w:rsidR="00666E7A" w:rsidRPr="00D776A6" w:rsidRDefault="00666E7A" w:rsidP="00666E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составляет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 5337,00 рублей, 8005,50 рублей или 10674,00 рубля</w:t>
      </w:r>
      <w:proofErr w:type="gram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 Правительства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30.04.2020 № 163 «Об утверждении Положения о порядке и условиях предоставления е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 денежной выплаты на ребенка в возрасте от трех до семи лет включительно</w:t>
      </w: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666E7A" w:rsidRPr="00D776A6" w:rsidRDefault="00666E7A" w:rsidP="00666E7A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Единовременная материальная помощь студенческим семьям при рождении ребенка:</w:t>
      </w:r>
    </w:p>
    <w:p w:rsidR="00666E7A" w:rsidRPr="00D776A6" w:rsidRDefault="00666E7A" w:rsidP="00666E7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2 человека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E7A" w:rsidRPr="00D776A6" w:rsidRDefault="00666E7A" w:rsidP="00666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Материальная помощь оказывается единовременно в размере 100,00 тысяч рублей независимо от количества рожденных одновременно детей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25.12.2020 № 631 «Об утверждении Положения о порядке оказания в 2021 году государственной социальной помощи в виде единовременной материальной помощи студенческим семьям при рождении ребенка»).</w:t>
      </w:r>
      <w:r w:rsidRPr="00D77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66E7A" w:rsidRPr="00D776A6" w:rsidRDefault="00666E7A" w:rsidP="00666E7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получение государственной социальной помощи в виде единовременной материальной помощи имеют студенческие семьи, находящиеся в трудной жизненной ситуации, в связи с рождением ребенка, которые по независящим от них причинам имеют среднедушевой доход семьи ниже 2-х кратной величины прожиточного минимума, установленного в Удмуртской Республике в расчете на душу населения (20930,00 руб.).</w:t>
      </w:r>
      <w:proofErr w:type="gramEnd"/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Удмуртской Республики от 17.02.2021 № 70 «О внесении изменений в постановление Правительства Удмуртской Республики от 16.12.2013 № 589 </w:t>
      </w:r>
      <w:r w:rsidRPr="0068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предоставлении государственной социальной помощи на основании </w:t>
      </w:r>
      <w:r w:rsidRPr="00686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контракта»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по состоянию на 01 января 2022 года по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району заключено 42 социальных контракта с малоимущими семьями, находящимися в трудной жизненной ситуации, на следующие мероприятия: </w:t>
      </w:r>
      <w:proofErr w:type="gramEnd"/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23 – по поиску работы,</w:t>
      </w:r>
      <w:r w:rsidRPr="00D776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трое находятся в поиске работы, остальные трудоустроены, 2 СК заявители получили поддержку по прохождению профессионального обучения, и работают по профилю; 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по осуществлению индивидуальной предпринимательской деятельности, в сфере: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лестниц и мебели из дерева и металла (ИП);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выращивание и реализация картофеля (КФХ), 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столярная мастерская (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грузовых перевозок (ИП), 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передержка животных, дрессировка собак (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г. Можги). 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по ведению личного подсобного хозяйства, из них 3 - разведение КРС молочного направления, 1- разведение КРС мясного направления; </w:t>
      </w:r>
    </w:p>
    <w:p w:rsidR="00666E7A" w:rsidRPr="00D776A6" w:rsidRDefault="00666E7A" w:rsidP="0066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по осуществлению иных мероприятий, направленных на преодоление трудной жизненной ситуации, из них в 3 СК - заболевания у детей, в 3 - у матерей, 2 СК с семьями СОП, последний СК - поддержка семье на оформление опеки над ребенком.</w:t>
      </w:r>
    </w:p>
    <w:p w:rsidR="00856BDD" w:rsidRPr="00D776A6" w:rsidRDefault="00856BDD" w:rsidP="0085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hAnsi="Times New Roman" w:cs="Times New Roman"/>
          <w:sz w:val="24"/>
          <w:szCs w:val="24"/>
        </w:rPr>
        <w:tab/>
      </w:r>
      <w:r w:rsidR="00B954C8" w:rsidRPr="00D776A6">
        <w:rPr>
          <w:rFonts w:ascii="Times New Roman" w:hAnsi="Times New Roman" w:cs="Times New Roman"/>
          <w:sz w:val="24"/>
          <w:szCs w:val="24"/>
        </w:rPr>
        <w:t>3</w:t>
      </w:r>
      <w:r w:rsidR="00D63E33" w:rsidRPr="00D776A6">
        <w:rPr>
          <w:rFonts w:ascii="Times New Roman" w:hAnsi="Times New Roman" w:cs="Times New Roman"/>
          <w:sz w:val="24"/>
          <w:szCs w:val="24"/>
        </w:rPr>
        <w:t>.</w:t>
      </w:r>
      <w:r w:rsidRPr="00D77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ежегодно увеличивается количество зарегистрированных многодетных семей, а также многодетных семей, воспользовавшихся мерами социальной поддержки.</w:t>
      </w:r>
      <w:r w:rsidRPr="00D776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2022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 w:rsidR="00E0653B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860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многодетных </w:t>
      </w:r>
      <w:r w:rsidR="00E0653B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 них воспитывается 2912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635343" w:rsidRPr="00D776A6" w:rsidRDefault="00D63E33" w:rsidP="006353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подпрограммой «Социальная поддержка семьи и детей» и «Социальная поддержка отдельных категорий граждан» муниципальной программы «Социальная поддержка населения» на 2015-2024 годы </w:t>
      </w:r>
      <w:proofErr w:type="spellStart"/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оказана материальная помощь 58</w:t>
      </w:r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D77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47</w:t>
      </w:r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EA2200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666E7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130,0 </w:t>
      </w:r>
      <w:r w:rsidR="00635343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proofErr w:type="gramEnd"/>
    </w:p>
    <w:p w:rsidR="006A1E84" w:rsidRPr="00D776A6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D776A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D776A6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D776A6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Филиалом Республиканского ЦЗН «ЦЗН города Можги и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2021 году </w:t>
      </w:r>
      <w:r w:rsidR="00314288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="00314288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по достижению муниципальных показателей муниципального образования «</w:t>
      </w:r>
      <w:proofErr w:type="spellStart"/>
      <w:r w:rsidR="00314288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D776A6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485"/>
      </w:tblGrid>
      <w:tr w:rsidR="00E2401B" w:rsidRPr="00D776A6" w:rsidTr="00314288">
        <w:tc>
          <w:tcPr>
            <w:tcW w:w="675" w:type="dxa"/>
          </w:tcPr>
          <w:p w:rsidR="00E2401B" w:rsidRPr="00D776A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E2401B" w:rsidRPr="00D776A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776A6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D776A6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D776A6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D776A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776A6">
              <w:rPr>
                <w:rFonts w:eastAsia="Times New Roman"/>
                <w:b/>
                <w:lang w:eastAsia="ru-RU"/>
              </w:rPr>
              <w:t>Результат</w:t>
            </w:r>
            <w:proofErr w:type="spellEnd"/>
          </w:p>
        </w:tc>
      </w:tr>
      <w:tr w:rsidR="00E2401B" w:rsidRPr="00D776A6" w:rsidTr="00A625F3">
        <w:tc>
          <w:tcPr>
            <w:tcW w:w="10279" w:type="dxa"/>
            <w:gridSpan w:val="3"/>
          </w:tcPr>
          <w:p w:rsidR="00E2401B" w:rsidRPr="00D776A6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D776A6" w:rsidTr="00314288">
        <w:tc>
          <w:tcPr>
            <w:tcW w:w="675" w:type="dxa"/>
          </w:tcPr>
          <w:p w:rsidR="00E2401B" w:rsidRPr="00D776A6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776A6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119" w:type="dxa"/>
          </w:tcPr>
          <w:p w:rsidR="00E2401B" w:rsidRPr="00D776A6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D776A6" w:rsidRDefault="00E2401B" w:rsidP="00E240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6A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Женщины, находящихся в отпуске по уходу за ребенком  до достижения им возраста трех лет проходили обучение в рамках </w:t>
            </w:r>
            <w:r w:rsidRPr="00D7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369 от 13.03.2021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  <w:proofErr w:type="gramEnd"/>
          </w:p>
          <w:p w:rsidR="00E2401B" w:rsidRPr="00D776A6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</w:p>
        </w:tc>
      </w:tr>
    </w:tbl>
    <w:p w:rsidR="00E2401B" w:rsidRPr="00D776A6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D776A6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D776A6">
        <w:rPr>
          <w:rFonts w:cs="Times New Roman"/>
          <w:b/>
          <w:bCs/>
          <w:color w:val="171717"/>
          <w:u w:val="single"/>
          <w:lang w:val="ru-RU"/>
        </w:rPr>
        <w:lastRenderedPageBreak/>
        <w:t>Проект: «Старшее поколение»</w:t>
      </w:r>
    </w:p>
    <w:p w:rsidR="00D63E33" w:rsidRPr="00D776A6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1408E6" w:rsidRPr="00D776A6" w:rsidRDefault="00184BD1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 «Республиканский комплексный центр социального обслуживания населения» в городе Можге и </w:t>
      </w:r>
      <w:proofErr w:type="spellStart"/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E74CB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</w:t>
      </w:r>
      <w:r w:rsidR="00E74CBA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следующие мероприятия </w:t>
      </w:r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муниципальных показателей муниципального образования «</w:t>
      </w:r>
      <w:proofErr w:type="spellStart"/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1408E6"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</w:t>
      </w: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8E6" w:rsidRPr="00D776A6" w:rsidRDefault="001408E6" w:rsidP="00184BD1">
      <w:pPr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E6" w:rsidRPr="00D776A6" w:rsidRDefault="001408E6" w:rsidP="00184BD1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8E6" w:rsidRPr="00D776A6" w:rsidRDefault="001408E6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16"/>
          <w:szCs w:val="16"/>
          <w:lang w:eastAsia="hi-IN" w:bidi="hi-IN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75"/>
        <w:gridCol w:w="4395"/>
        <w:gridCol w:w="5386"/>
      </w:tblGrid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right="-108" w:firstLine="1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408E6" w:rsidRPr="00D776A6" w:rsidTr="001408E6">
        <w:tc>
          <w:tcPr>
            <w:tcW w:w="10456" w:type="dxa"/>
            <w:gridSpan w:val="3"/>
          </w:tcPr>
          <w:p w:rsidR="001408E6" w:rsidRPr="00D776A6" w:rsidRDefault="001408E6" w:rsidP="00AC509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171717"/>
                <w:kern w:val="1"/>
                <w:sz w:val="24"/>
                <w:szCs w:val="24"/>
                <w:lang w:eastAsia="hi-IN" w:bidi="hi-IN"/>
              </w:rPr>
            </w:pPr>
            <w:r w:rsidRPr="00D77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Повышение качества жизни граждан старшего поколения и у</w:t>
            </w:r>
            <w:r w:rsidRPr="00D776A6">
              <w:rPr>
                <w:rFonts w:ascii="Times New Roman" w:hAnsi="Times New Roman" w:cs="Times New Roman"/>
                <w:b/>
                <w:sz w:val="24"/>
                <w:szCs w:val="24"/>
              </w:rPr>
              <w:t>величение продолжительности жизни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right="-108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работе, проводимой учреждением в рамках реализации национального проекта «Демография», размещена на сайте и на стендах учреждения, систематически проводятся публикации в социальных сетях.</w:t>
            </w: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https://vk.com/public163951457. Ведется сотрудничество с Советом ветеранов </w:t>
            </w:r>
            <w:proofErr w:type="spell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 активными пожилыми гражданами района, которые ведут разъяснительную и информационную работу в </w:t>
            </w:r>
            <w:proofErr w:type="spell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Можгинском</w:t>
            </w:r>
            <w:proofErr w:type="spell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районе.  Распространены буклеты – 73 шт.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2021 год по данной программе проведены занятия в Отделении социально-реабилитационного обслуживания со стационаром с 40 гражданами и в Отделении социально-реабилитационного обслуживания без стационара с 76 гражданами.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клуба «Скандинавской ходьбы», клубов по интересам.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 гражданин старшего возраста в течени</w:t>
            </w:r>
            <w:proofErr w:type="gram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 посещали кружки «Здоровье». В июне 2021 года организован и проведен 3 фестиваль скандинавской ходьбы «Здоровое долголетие», в котором приняли участие 30 человек.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в работу </w:t>
            </w:r>
            <w:proofErr w:type="spellStart"/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технологий:</w:t>
            </w:r>
          </w:p>
          <w:p w:rsidR="001408E6" w:rsidRPr="00D776A6" w:rsidRDefault="001408E6" w:rsidP="00EA595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- служба сиделок</w:t>
            </w:r>
          </w:p>
          <w:p w:rsidR="001408E6" w:rsidRPr="00D776A6" w:rsidRDefault="001408E6" w:rsidP="00EA595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- Школа опекуна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использовалась услуга – Служба  сиделок, ее </w:t>
            </w:r>
            <w:proofErr w:type="gramStart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воспользовалось</w:t>
            </w:r>
            <w:proofErr w:type="gramEnd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воспользовались  12 человек По «Школе опекуна», по осуществлению подготовки граждан, выразивших желание стать опекунами или попечителями совершеннолетних недееспособных или не полностью дееспособных  граждан обучены 3 жителя </w:t>
            </w:r>
            <w:proofErr w:type="spellStart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 района..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14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мобильной бригады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бригада осуществляла выезды преимущественно по оказанию социально-бытовой помощи гражданам, нуждающимся в хозяйственных услугах</w:t>
            </w:r>
            <w:proofErr w:type="gram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2021 год осуществлено 11 бесплатных  и 123 платных выездов. Оказано </w:t>
            </w: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1448 услуг.</w:t>
            </w:r>
          </w:p>
          <w:p w:rsidR="001408E6" w:rsidRPr="00D776A6" w:rsidRDefault="001408E6" w:rsidP="00EA595F">
            <w:pPr>
              <w:ind w:left="-108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Было осуществлено 123 выезда к лицам старше 65 лет, проживающим в сельской местности, в целях оказания медицинской помощи. Медицинскую помощь на дому получили 960 граждан. 590 граждан пожилого возраста были доставлены в медицинские организации для прохождения диспансеризации, в </w:t>
            </w:r>
            <w:proofErr w:type="spell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вакцинации.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14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«Здоровый образ жизни – залог долголетия»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 заездах  отделений социально-реабилитационного обслуживания без стационара и со стационаром с обслуживаемыми гражданами терапевтом учреждения проводились беседы  о ЗОЖ, осуществлено 38 бесед, охват – 116 человек.</w:t>
            </w:r>
          </w:p>
        </w:tc>
      </w:tr>
      <w:tr w:rsidR="001408E6" w:rsidRPr="00D776A6" w:rsidTr="00E74CBA">
        <w:tc>
          <w:tcPr>
            <w:tcW w:w="675" w:type="dxa"/>
          </w:tcPr>
          <w:p w:rsidR="001408E6" w:rsidRPr="00D776A6" w:rsidRDefault="001408E6" w:rsidP="00EA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408E6" w:rsidRPr="00D776A6" w:rsidRDefault="001408E6" w:rsidP="00EA595F">
            <w:pPr>
              <w:tabs>
                <w:tab w:val="left" w:pos="14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долговременного ухода.</w:t>
            </w:r>
          </w:p>
        </w:tc>
        <w:tc>
          <w:tcPr>
            <w:tcW w:w="5386" w:type="dxa"/>
          </w:tcPr>
          <w:p w:rsidR="001408E6" w:rsidRPr="00D776A6" w:rsidRDefault="001408E6" w:rsidP="00EA595F">
            <w:pPr>
              <w:ind w:left="-10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Системой долговременного ухода за данный период в районе охвачено 284 человека. В рамках данной программы социальные услуги в форме на дому получили в </w:t>
            </w:r>
            <w:proofErr w:type="spell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Можгинском</w:t>
            </w:r>
            <w:proofErr w:type="spell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- 284 чел. Наиболее востребованы социально-бытовые услуги: уборка помещения, приготовление пищи, приобретение продуктов питания. Из общего количества, получивших услуги, 10 человек являются ветеранами войны (1 инвалид </w:t>
            </w:r>
            <w:proofErr w:type="spellStart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 w:rsidRPr="00D7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вдовы, 8 участников трудового фронта). Услугами по доставке лекарств на дом воспользовались 122 человека, в том числе 17 одиноких пожилых граждан.</w:t>
            </w:r>
          </w:p>
        </w:tc>
      </w:tr>
    </w:tbl>
    <w:p w:rsidR="001408E6" w:rsidRPr="00D776A6" w:rsidRDefault="001408E6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16"/>
          <w:szCs w:val="16"/>
          <w:lang w:eastAsia="hi-IN" w:bidi="hi-IN"/>
        </w:rPr>
      </w:pPr>
    </w:p>
    <w:p w:rsidR="001520DE" w:rsidRPr="00D776A6" w:rsidRDefault="001520DE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4288" w:rsidRPr="00D776A6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Филиалом Республиканского ЦЗН «ЦЗН города Можги и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2021 году 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 мероприятия, по достижению муниципальных показателей муниципального образования «</w:t>
      </w:r>
      <w:proofErr w:type="spellStart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D7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«Демография»:</w:t>
      </w:r>
    </w:p>
    <w:p w:rsidR="00314288" w:rsidRPr="00D776A6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959"/>
        <w:gridCol w:w="3402"/>
        <w:gridCol w:w="6095"/>
      </w:tblGrid>
      <w:tr w:rsidR="00314288" w:rsidRPr="00D776A6" w:rsidTr="00A85F47">
        <w:tc>
          <w:tcPr>
            <w:tcW w:w="959" w:type="dxa"/>
          </w:tcPr>
          <w:p w:rsidR="00314288" w:rsidRPr="00D776A6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D776A6">
              <w:rPr>
                <w:rFonts w:cs="Times New Roman"/>
                <w:b/>
                <w:bCs/>
                <w:color w:val="171717"/>
                <w:lang w:val="ru-RU"/>
              </w:rPr>
              <w:t xml:space="preserve">№ </w:t>
            </w:r>
            <w:proofErr w:type="gramStart"/>
            <w:r w:rsidRPr="00D776A6">
              <w:rPr>
                <w:rFonts w:cs="Times New Roman"/>
                <w:b/>
                <w:bCs/>
                <w:color w:val="171717"/>
                <w:lang w:val="ru-RU"/>
              </w:rPr>
              <w:t>п</w:t>
            </w:r>
            <w:proofErr w:type="gramEnd"/>
            <w:r w:rsidRPr="00D776A6">
              <w:rPr>
                <w:rFonts w:cs="Times New Roman"/>
                <w:b/>
                <w:bCs/>
                <w:color w:val="171717"/>
                <w:lang w:val="ru-RU"/>
              </w:rPr>
              <w:t>/п</w:t>
            </w:r>
          </w:p>
        </w:tc>
        <w:tc>
          <w:tcPr>
            <w:tcW w:w="3402" w:type="dxa"/>
          </w:tcPr>
          <w:p w:rsidR="00314288" w:rsidRPr="00D776A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776A6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D776A6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D776A6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095" w:type="dxa"/>
          </w:tcPr>
          <w:p w:rsidR="00314288" w:rsidRPr="00D776A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776A6">
              <w:rPr>
                <w:rFonts w:eastAsia="Times New Roman"/>
                <w:b/>
                <w:lang w:eastAsia="ru-RU"/>
              </w:rPr>
              <w:t>Результат</w:t>
            </w:r>
            <w:proofErr w:type="spellEnd"/>
          </w:p>
        </w:tc>
      </w:tr>
      <w:tr w:rsidR="00314288" w:rsidRPr="00D776A6" w:rsidTr="00A85F47">
        <w:tc>
          <w:tcPr>
            <w:tcW w:w="10456" w:type="dxa"/>
            <w:gridSpan w:val="3"/>
          </w:tcPr>
          <w:p w:rsidR="00314288" w:rsidRPr="00D776A6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D776A6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D776A6">
              <w:rPr>
                <w:b/>
                <w:lang w:val="ru-RU"/>
              </w:rPr>
              <w:t xml:space="preserve">величение </w:t>
            </w:r>
          </w:p>
          <w:p w:rsidR="00314288" w:rsidRPr="00D776A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D776A6" w:rsidTr="00A85F47">
        <w:tc>
          <w:tcPr>
            <w:tcW w:w="959" w:type="dxa"/>
          </w:tcPr>
          <w:p w:rsidR="00314288" w:rsidRPr="00D776A6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776A6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402" w:type="dxa"/>
          </w:tcPr>
          <w:p w:rsidR="00314288" w:rsidRPr="00D776A6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D776A6">
              <w:rPr>
                <w:color w:val="171717"/>
                <w:lang w:val="ru-RU"/>
              </w:rPr>
              <w:t>предпенсионного</w:t>
            </w:r>
            <w:proofErr w:type="spellEnd"/>
            <w:r w:rsidRPr="00D776A6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</w:tcPr>
          <w:p w:rsidR="00314288" w:rsidRPr="00D776A6" w:rsidRDefault="00314288" w:rsidP="00A85F4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проведено 9 заседаний «Клуба деловых встреч с работодателями» с руководителями  и представителями кадровой службы 252 организаций всех форм собственности  </w:t>
            </w:r>
            <w:proofErr w:type="spellStart"/>
            <w:r w:rsidRPr="00D7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D7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314288" w:rsidRPr="00D776A6" w:rsidRDefault="00314288" w:rsidP="00A85F4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Изготовлено</w:t>
            </w:r>
            <w:r w:rsidRPr="00D7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распространено в течение отчетного периода 253 буклета о реализации  Постановления РФ № 369 от 13.03.2021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</w:p>
          <w:p w:rsidR="00314288" w:rsidRPr="00D776A6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Информация о возможностях подбора необходимых </w:t>
            </w:r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кадров в других субъектах Российской Федерации, в том числе через портал "Работа в России" опубликована на </w:t>
            </w:r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>г</w:t>
            </w:r>
            <w:proofErr w:type="gramStart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>.М</w:t>
            </w:r>
            <w:proofErr w:type="gramEnd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>ожги</w:t>
            </w:r>
            <w:proofErr w:type="spellEnd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и </w:t>
            </w:r>
            <w:proofErr w:type="spellStart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D776A6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района,</w:t>
            </w:r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в филиале "</w:t>
            </w:r>
            <w:proofErr w:type="spellStart"/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" АУ "МФЦ УР", на официальном сайте МО "</w:t>
            </w:r>
            <w:proofErr w:type="spellStart"/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D776A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район»</w:t>
            </w:r>
          </w:p>
        </w:tc>
      </w:tr>
      <w:tr w:rsidR="00314288" w:rsidRPr="00D776A6" w:rsidTr="00A85F47">
        <w:tc>
          <w:tcPr>
            <w:tcW w:w="959" w:type="dxa"/>
          </w:tcPr>
          <w:p w:rsidR="00314288" w:rsidRPr="00D776A6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776A6">
              <w:rPr>
                <w:rFonts w:cs="Times New Roman"/>
                <w:bCs/>
                <w:color w:val="171717"/>
                <w:lang w:val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14288" w:rsidRPr="00D776A6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D776A6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D776A6">
              <w:rPr>
                <w:color w:val="171717"/>
                <w:lang w:val="ru-RU"/>
              </w:rPr>
              <w:t>предпенсионного</w:t>
            </w:r>
            <w:proofErr w:type="spellEnd"/>
            <w:r w:rsidRPr="00D776A6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</w:tcPr>
          <w:p w:rsidR="00314288" w:rsidRPr="00D776A6" w:rsidRDefault="00314288" w:rsidP="00A85F4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6A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проведена 1 специализированная ярмарка </w:t>
            </w:r>
            <w:r w:rsidRPr="00D776A6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для граждан </w:t>
            </w:r>
            <w:proofErr w:type="spellStart"/>
            <w:r w:rsidRPr="00D776A6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предпенсионного</w:t>
            </w:r>
            <w:proofErr w:type="spellEnd"/>
            <w:r w:rsidRPr="00D776A6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и пенсионного возраста по профессии дворник, в которой приняло участие 19 человек, трудоустроен 1 человек.</w:t>
            </w:r>
          </w:p>
        </w:tc>
      </w:tr>
    </w:tbl>
    <w:p w:rsidR="00314288" w:rsidRPr="00D776A6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2F646A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D776A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E065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ольница МЗ УР" за 12 месяцев </w:t>
      </w:r>
      <w:r w:rsidR="007E5EC9"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>2021</w:t>
      </w:r>
      <w:r w:rsidRPr="002F646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602A25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602A25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602A25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602A25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3686"/>
      </w:tblGrid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3A1BA8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– 3151 чел.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Осмотр. – 3151 чел.</w:t>
            </w:r>
          </w:p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 100 %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реестра и работа с 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проходившим мед</w:t>
            </w:r>
            <w:r w:rsidR="00602A25">
              <w:rPr>
                <w:rFonts w:ascii="Times New Roman" w:hAnsi="Times New Roman" w:cs="Times New Roman"/>
                <w:sz w:val="24"/>
                <w:szCs w:val="24"/>
              </w:rPr>
              <w:t>ицинское обследование  в течение</w:t>
            </w: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8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2280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  <w:proofErr w:type="gramEnd"/>
            <w:r w:rsidRPr="0046228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 в течение длительного времени более 2 лет – 809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280">
              <w:rPr>
                <w:rFonts w:ascii="Times New Roman" w:hAnsi="Times New Roman" w:cs="Times New Roman"/>
                <w:sz w:val="24"/>
                <w:szCs w:val="24"/>
              </w:rPr>
              <w:t>4,3 %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Pr="00475820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20"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Выявлено: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82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proofErr w:type="spellEnd"/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3</w:t>
            </w:r>
          </w:p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2 беременные высокой группы риска; прошли обследование все.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5" w:rsidRPr="00602A25" w:rsidRDefault="00602A25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на учете по поводу бесплодия 17 пар; получили квоту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A25">
              <w:rPr>
                <w:rFonts w:ascii="Times New Roman" w:eastAsia="Times New Roman" w:hAnsi="Times New Roman" w:cs="Times New Roman"/>
                <w:sz w:val="24"/>
                <w:szCs w:val="24"/>
              </w:rPr>
              <w:t>пары;</w:t>
            </w:r>
          </w:p>
          <w:p w:rsidR="003A1BA8" w:rsidRPr="00600B06" w:rsidRDefault="00602A25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5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этапе обследования – 7 пар.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выездов- 32</w:t>
            </w:r>
          </w:p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 2106 человек.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выездов- 45</w:t>
            </w:r>
          </w:p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Выступления в СМИ.</w:t>
            </w:r>
          </w:p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5" w:rsidRPr="00602A25" w:rsidRDefault="00602A25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Охвачено: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1 «школа здоровья» – 238 человек</w:t>
            </w:r>
          </w:p>
          <w:p w:rsidR="00475820" w:rsidRPr="00475820" w:rsidRDefault="00475820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>АД – 1 «школа здоровья» – 56 чел.</w:t>
            </w:r>
          </w:p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беременных» - 83  </w:t>
            </w:r>
            <w:r w:rsidRPr="0047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</w:t>
            </w:r>
            <w:proofErr w:type="gram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женской консультаций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47582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80">
              <w:rPr>
                <w:rFonts w:ascii="Times New Roman" w:hAnsi="Times New Roman" w:cs="Times New Roman"/>
                <w:sz w:val="24"/>
                <w:szCs w:val="24"/>
              </w:rPr>
              <w:t>В кабин</w:t>
            </w:r>
            <w:r w:rsidR="00E0653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 w:rsidR="00E0653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E0653B">
              <w:rPr>
                <w:rFonts w:ascii="Times New Roman" w:hAnsi="Times New Roman" w:cs="Times New Roman"/>
                <w:sz w:val="24"/>
                <w:szCs w:val="24"/>
              </w:rPr>
              <w:t xml:space="preserve"> помощи женской консультации </w:t>
            </w:r>
            <w:r w:rsidRPr="00462280">
              <w:rPr>
                <w:rFonts w:ascii="Times New Roman" w:hAnsi="Times New Roman" w:cs="Times New Roman"/>
                <w:sz w:val="24"/>
                <w:szCs w:val="24"/>
              </w:rPr>
              <w:t>обратилось 11 женщин с намерением прервать беременность. Отказались от аборта 4 женщины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25" w:rsidRPr="00602A25" w:rsidRDefault="00602A25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2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выездах по диспансеризации беседы  детского и подросткового гинеколога, охват – 196 девочек.</w:t>
            </w:r>
          </w:p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 ведение "периода ожидания" для женщин, решивших прервать беременность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602A25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Прервано – 6 беременностей, отказ от прерывания беременности - 4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демонстрация фильмов о профилактике абортов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602A25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женской  консультации</w:t>
            </w:r>
            <w:r w:rsidR="003A1BA8"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1BA8" w:rsidRPr="00600B0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="003A1BA8" w:rsidRPr="00600B0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3A1BA8" w:rsidRPr="00600B06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проведение медико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Психологичесоке</w:t>
            </w:r>
            <w:proofErr w:type="spellEnd"/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женщин по вопросам незапла</w:t>
            </w:r>
            <w:r w:rsidR="00602A25">
              <w:rPr>
                <w:rFonts w:ascii="Times New Roman" w:hAnsi="Times New Roman" w:cs="Times New Roman"/>
                <w:sz w:val="24"/>
                <w:szCs w:val="24"/>
              </w:rPr>
              <w:t>нированной беременности в ЖК – 11</w:t>
            </w: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600B06"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>женщин с тяжелой соматической патологией – 9 эффективными методами контрацепции –</w:t>
            </w:r>
          </w:p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75 % </w:t>
            </w:r>
            <w:r w:rsidRPr="00600B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A1BA8" w:rsidRPr="006A1E84" w:rsidTr="006A1E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A1E84" w:rsidRDefault="003A1BA8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600B06">
              <w:t xml:space="preserve">беседа с беременными о методах контрацепции после родов </w:t>
            </w:r>
            <w:r w:rsidRPr="00600B06"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600B06" w:rsidRDefault="003A1BA8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06">
              <w:rPr>
                <w:rFonts w:ascii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600B06">
              <w:rPr>
                <w:rFonts w:ascii="Times New Roman" w:hAnsi="Times New Roman" w:cs="Times New Roman"/>
              </w:rPr>
              <w:t>контрацепции после родов</w:t>
            </w:r>
            <w:r w:rsidRPr="00600B06">
              <w:t xml:space="preserve"> </w:t>
            </w:r>
            <w:r w:rsidRPr="00600B06">
              <w:br/>
            </w:r>
          </w:p>
        </w:tc>
      </w:tr>
    </w:tbl>
    <w:p w:rsidR="00B80865" w:rsidRDefault="00B80865" w:rsidP="0051015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602A25" w:rsidRDefault="006D6A16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A25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  <w:r w:rsidR="006A1E84" w:rsidRPr="00602A2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602A25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укрепления общественного здоровья в районе действует подпрограмма «Создание условий для развития физической культуры и спорта» муниципальной программы муниципального образования 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«Охрана здоровья и формирование здорового образа жизни населения на 2015-2024 гг.», которая утверждена постановлением Администрации муниципального образования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26 сентября 2014 года № 1084. </w:t>
      </w:r>
    </w:p>
    <w:p w:rsidR="00F524F1" w:rsidRPr="00602A2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спортивно-массовая и физкультурно-оздоровительная работа проводится на территории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Большепудгинское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 </w:t>
      </w: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Большекибьинское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Этому способствует хорошая материальная база и наличие необходимого инвентаря, в штате сельских домов культуры действуют ставки методистов специализирующихся по направлению спорта.  На территории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 «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организована спартакиада по 8 видам спорта, финансируется развитие детского спорта, организуются товарищеские встречи по волейболу и баскетболу, хоккейные турниры, турниры по мини-футболу.</w:t>
      </w:r>
    </w:p>
    <w:p w:rsidR="00F524F1" w:rsidRPr="00602A2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F524F1" w:rsidRPr="00602A2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сектором спорта и молодежной политики 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пропаганды здорового образа жизни,  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  <w:proofErr w:type="gramEnd"/>
    </w:p>
    <w:p w:rsidR="00F524F1" w:rsidRPr="00602A25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с</w:t>
      </w:r>
      <w:r w:rsidRPr="00602A25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ерьезное внимание уделяется развитию инвалидного спорта. </w:t>
      </w: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статистической отчетности, число 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 составляет 202 (АППГ-189) человека. Спортсмены района принимают участие в Республиканской Спартакиаде инвалидного спорта, посвященной всероссийскому празднику «День физкультурника». </w:t>
      </w:r>
    </w:p>
    <w:p w:rsidR="00F524F1" w:rsidRPr="00602A25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оборудовано семь спортивно-досуговых площадок: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спортивно-игровая площадка (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Вишур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площадки в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площадка для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воркаута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дмурт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площадка для сдачи норм ГТО (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ычас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игровая площадка (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азял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организовано 13 троп здоровья для лиц, занимающихся северной ходьбой (с. Большая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Верхние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Большая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ча, с. Горняк, с. Черемушки, д.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Малая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Воложикья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Мельниково, с. Можга, д. Старые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Ныша, д.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proofErr w:type="spell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4F1" w:rsidRPr="00602A2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волейбол, легкоатлетические пробеги, лыжные гонки, зимние и летние игры. В 2020 году увеличилось число занимающихся физической культурой и спортом с 7503 до 10560 человек, что составляет 44,34% от общего числа населения района, по данным Росстата население от 3 до 80 лет 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01.01.2021 </w:t>
      </w:r>
      <w:proofErr w:type="gramStart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238218 человек.</w:t>
      </w:r>
    </w:p>
    <w:p w:rsidR="0051015A" w:rsidRPr="00602A25" w:rsidRDefault="00044CA8" w:rsidP="00F52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</w:t>
      </w:r>
      <w:r w:rsidR="00107BBC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51015A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="00F524F1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мероприятий,</w:t>
      </w:r>
      <w:r w:rsidR="0051015A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которых</w:t>
      </w:r>
      <w:r w:rsidR="00F524F1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4045</w:t>
      </w:r>
      <w:r w:rsidR="0051015A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70D6F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015A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015A" w:rsidRPr="00602A25" w:rsidRDefault="00044CA8" w:rsidP="005101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января по декабрь</w:t>
      </w:r>
      <w:r w:rsidR="00107BBC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15A" w:rsidRPr="00602A25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наиболее значимыми и массовыми мероприятиями стали:</w:t>
      </w:r>
    </w:p>
    <w:p w:rsidR="0051015A" w:rsidRPr="00602A25" w:rsidRDefault="0051015A" w:rsidP="005101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288"/>
      </w:tblGrid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26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мероприятий</w:t>
            </w:r>
          </w:p>
        </w:tc>
        <w:tc>
          <w:tcPr>
            <w:tcW w:w="2288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хоккею на призы с/х предприятий, 04,06,08.01.2021г.</w:t>
            </w:r>
          </w:p>
        </w:tc>
        <w:tc>
          <w:tcPr>
            <w:tcW w:w="2288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7-е открытые районные соревнования по лыжным гонкам Ю.Н. Бибикова, 22.01.2021г.</w:t>
            </w:r>
          </w:p>
        </w:tc>
        <w:tc>
          <w:tcPr>
            <w:tcW w:w="2288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35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Зимнее многоборье ГТО на призы ДОСААФ,  23.01.2021г.</w:t>
            </w:r>
          </w:p>
        </w:tc>
        <w:tc>
          <w:tcPr>
            <w:tcW w:w="2288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Баскетбол стыковой турнир среди мужчин , 24.01.2021г.</w:t>
            </w:r>
          </w:p>
        </w:tc>
        <w:tc>
          <w:tcPr>
            <w:tcW w:w="2288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11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Районные соревнования в зачет 24-х зимних спортивных игр, 30.01.2021г.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80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Волейбол среди женщин на кубок ПСК, 31.01.2021г.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24-е зимние сельские спортивные игры, 06.02.2021г.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21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«Лыжня России», 13.02.2021г.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150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Баскетбол Первенство района в зачет спартакиады МО, 21.01.2021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Фестиваль северной ходьбы, 20.02.2021г.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42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Лыжные гонки, посвященные памяти С.М. Шишкина, Е.Г. Батуева, М.И. Иванова, 07.03.2021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200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7-я районная спартакиада пенсионеров, 05.03.2021г.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75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парапланерному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спорту,  06-07.03.2021г.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6-я Республиканская спартакиада пенсионеров, 18.03.2021г.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13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 имени Сергея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Кирдяева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, 27.03.2021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имени Сергея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Кирдяева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, 28.03.2021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40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Волейбол в зачет Спартакиады муниципального образования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130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Настольный теннис в зачет 28-х летних сельских спортивных игр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24 человека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Зимняя спартакиада молодежи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78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пробег Горняк-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Пычас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431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Полиатлон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в зачет 28-х летних сельских спортивных игр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Шашки среди спортивных семей в зачет 28-х летних сельских спортивных игр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15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Лапта в зачет 28-х летних сельских спортивных игр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65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28-е летние сельские спортивные игры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150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Районный туристический фестиваль «На районе-2021»</w:t>
            </w:r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140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926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Награждение победителей Всероссийской спартакиады специальной олимпиады Волейбол-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юнифайд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14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107BBC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3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 профильная смена «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Егит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тулкым</w:t>
            </w:r>
            <w:proofErr w:type="spellEnd"/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Районное мероприятие, посвященное Дню физкультурника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Молодежный форум САМ 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A70D6F" w:rsidP="00107B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айонные соревнования по баскетболу «Оранжевый мяч»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A70D6F" w:rsidP="00107B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егкоатлетический пробег на призы СПК «</w:t>
            </w:r>
            <w:proofErr w:type="spellStart"/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Югдон</w:t>
            </w:r>
            <w:proofErr w:type="spellEnd"/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107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A70D6F" w:rsidP="00A7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ешеходная прогулка «</w:t>
            </w:r>
            <w:proofErr w:type="spellStart"/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скороход - 2021» в </w:t>
            </w:r>
            <w:r w:rsidR="00107BBC" w:rsidRPr="00602A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рамках Республиканского фестиваля оздоровительного туризма «Кругосветка Удмуртии»</w:t>
            </w: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107BBC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 человек</w:t>
            </w:r>
          </w:p>
        </w:tc>
      </w:tr>
      <w:tr w:rsidR="00107BBC" w:rsidRPr="00602A25" w:rsidTr="00582889">
        <w:tc>
          <w:tcPr>
            <w:tcW w:w="567" w:type="dxa"/>
          </w:tcPr>
          <w:p w:rsidR="00107BBC" w:rsidRPr="00602A25" w:rsidRDefault="00A70D6F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26" w:type="dxa"/>
            <w:shd w:val="clear" w:color="auto" w:fill="auto"/>
          </w:tcPr>
          <w:p w:rsidR="00107BBC" w:rsidRPr="00602A25" w:rsidRDefault="00A70D6F" w:rsidP="00107B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107BBC" w:rsidRPr="0060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сероссийский день бега «Кросс наций»  </w:t>
            </w:r>
          </w:p>
        </w:tc>
        <w:tc>
          <w:tcPr>
            <w:tcW w:w="2288" w:type="dxa"/>
            <w:shd w:val="clear" w:color="auto" w:fill="auto"/>
          </w:tcPr>
          <w:p w:rsidR="00107BBC" w:rsidRPr="00602A25" w:rsidRDefault="00044CA8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 человека</w:t>
            </w:r>
          </w:p>
        </w:tc>
      </w:tr>
      <w:tr w:rsidR="00044CA8" w:rsidRPr="00602A25" w:rsidTr="00582889">
        <w:tc>
          <w:tcPr>
            <w:tcW w:w="567" w:type="dxa"/>
          </w:tcPr>
          <w:p w:rsidR="00044CA8" w:rsidRPr="00602A25" w:rsidRDefault="00044CA8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26" w:type="dxa"/>
            <w:shd w:val="clear" w:color="auto" w:fill="auto"/>
          </w:tcPr>
          <w:p w:rsidR="00044CA8" w:rsidRPr="00602A25" w:rsidRDefault="00044CA8" w:rsidP="00044C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4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ематический вечер для молодежи «Я хозяин свое судьбы» - </w:t>
            </w:r>
          </w:p>
        </w:tc>
        <w:tc>
          <w:tcPr>
            <w:tcW w:w="2288" w:type="dxa"/>
            <w:shd w:val="clear" w:color="auto" w:fill="auto"/>
          </w:tcPr>
          <w:p w:rsidR="00044CA8" w:rsidRPr="00602A25" w:rsidRDefault="00044CA8" w:rsidP="0004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человек</w:t>
            </w:r>
          </w:p>
        </w:tc>
      </w:tr>
      <w:tr w:rsidR="0051015A" w:rsidRPr="00602A25" w:rsidTr="00582889">
        <w:tc>
          <w:tcPr>
            <w:tcW w:w="567" w:type="dxa"/>
          </w:tcPr>
          <w:p w:rsidR="0051015A" w:rsidRPr="00602A25" w:rsidRDefault="00044CA8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26" w:type="dxa"/>
          </w:tcPr>
          <w:p w:rsidR="0051015A" w:rsidRPr="00044CA8" w:rsidRDefault="00044CA8" w:rsidP="00044C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4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рнир по теннису среди молодежи </w:t>
            </w:r>
          </w:p>
        </w:tc>
        <w:tc>
          <w:tcPr>
            <w:tcW w:w="2288" w:type="dxa"/>
          </w:tcPr>
          <w:p w:rsidR="0051015A" w:rsidRPr="00044CA8" w:rsidRDefault="00044CA8" w:rsidP="0004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человека</w:t>
            </w:r>
          </w:p>
        </w:tc>
      </w:tr>
      <w:tr w:rsidR="00044CA8" w:rsidRPr="00602A25" w:rsidTr="00582889">
        <w:tc>
          <w:tcPr>
            <w:tcW w:w="567" w:type="dxa"/>
          </w:tcPr>
          <w:p w:rsidR="00044CA8" w:rsidRPr="00602A25" w:rsidRDefault="00044CA8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926" w:type="dxa"/>
          </w:tcPr>
          <w:p w:rsidR="00044CA8" w:rsidRPr="00044CA8" w:rsidRDefault="00044CA8" w:rsidP="00044C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4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Кватчи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-Можга» </w:t>
            </w:r>
          </w:p>
        </w:tc>
        <w:tc>
          <w:tcPr>
            <w:tcW w:w="2288" w:type="dxa"/>
          </w:tcPr>
          <w:p w:rsidR="00044CA8" w:rsidRPr="00602A25" w:rsidRDefault="00044CA8" w:rsidP="00044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человек</w:t>
            </w:r>
          </w:p>
        </w:tc>
      </w:tr>
      <w:tr w:rsidR="00044CA8" w:rsidRPr="00602A25" w:rsidTr="00582889">
        <w:tc>
          <w:tcPr>
            <w:tcW w:w="567" w:type="dxa"/>
          </w:tcPr>
          <w:p w:rsidR="00044CA8" w:rsidRDefault="00044CA8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6" w:type="dxa"/>
          </w:tcPr>
          <w:p w:rsidR="00044CA8" w:rsidRPr="00044CA8" w:rsidRDefault="00044CA8" w:rsidP="00044C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044CA8" w:rsidRPr="00602A25" w:rsidRDefault="00044CA8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4045</w:t>
            </w: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51015A" w:rsidRPr="0051015A" w:rsidTr="00582889">
        <w:tc>
          <w:tcPr>
            <w:tcW w:w="567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6" w:type="dxa"/>
          </w:tcPr>
          <w:p w:rsidR="0051015A" w:rsidRPr="00602A25" w:rsidRDefault="0051015A" w:rsidP="00510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сдавших нормы ГТО</w:t>
            </w:r>
          </w:p>
        </w:tc>
        <w:tc>
          <w:tcPr>
            <w:tcW w:w="2288" w:type="dxa"/>
          </w:tcPr>
          <w:p w:rsidR="0051015A" w:rsidRPr="0051015A" w:rsidRDefault="0051015A" w:rsidP="0051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A25">
              <w:rPr>
                <w:rFonts w:ascii="Times New Roman" w:eastAsia="Times New Roman" w:hAnsi="Times New Roman" w:cs="Times New Roman"/>
                <w:lang w:eastAsia="ru-RU"/>
              </w:rPr>
              <w:t>77 человек</w:t>
            </w:r>
          </w:p>
        </w:tc>
      </w:tr>
    </w:tbl>
    <w:p w:rsidR="0051015A" w:rsidRPr="0051015A" w:rsidRDefault="0051015A" w:rsidP="00202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6A16" w:rsidRPr="004349A7" w:rsidRDefault="006D6A16" w:rsidP="004349A7">
      <w:pPr>
        <w:spacing w:before="24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6A16" w:rsidRPr="004349A7" w:rsidSect="001408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am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44CA8"/>
    <w:rsid w:val="00107BBC"/>
    <w:rsid w:val="001408E6"/>
    <w:rsid w:val="00140F7E"/>
    <w:rsid w:val="001520DE"/>
    <w:rsid w:val="00184BD1"/>
    <w:rsid w:val="0019490F"/>
    <w:rsid w:val="001D01E5"/>
    <w:rsid w:val="00202644"/>
    <w:rsid w:val="0024450F"/>
    <w:rsid w:val="002B035A"/>
    <w:rsid w:val="002F646A"/>
    <w:rsid w:val="00314288"/>
    <w:rsid w:val="0035663D"/>
    <w:rsid w:val="003A1BA8"/>
    <w:rsid w:val="003F06F7"/>
    <w:rsid w:val="003F676D"/>
    <w:rsid w:val="004349A7"/>
    <w:rsid w:val="0047107E"/>
    <w:rsid w:val="00475820"/>
    <w:rsid w:val="004A6B3F"/>
    <w:rsid w:val="004B08A7"/>
    <w:rsid w:val="004C258E"/>
    <w:rsid w:val="004E7314"/>
    <w:rsid w:val="0051015A"/>
    <w:rsid w:val="00582889"/>
    <w:rsid w:val="005A7D11"/>
    <w:rsid w:val="00602A25"/>
    <w:rsid w:val="00635343"/>
    <w:rsid w:val="0066460A"/>
    <w:rsid w:val="006659C6"/>
    <w:rsid w:val="00666E7A"/>
    <w:rsid w:val="00686722"/>
    <w:rsid w:val="006A1E84"/>
    <w:rsid w:val="006D6A16"/>
    <w:rsid w:val="00700386"/>
    <w:rsid w:val="007126D2"/>
    <w:rsid w:val="007A18E0"/>
    <w:rsid w:val="007E2E6D"/>
    <w:rsid w:val="007E5EC9"/>
    <w:rsid w:val="008330FF"/>
    <w:rsid w:val="00856BDD"/>
    <w:rsid w:val="00863193"/>
    <w:rsid w:val="008B6E53"/>
    <w:rsid w:val="008E7F0F"/>
    <w:rsid w:val="00911D11"/>
    <w:rsid w:val="009C3F43"/>
    <w:rsid w:val="00A0241C"/>
    <w:rsid w:val="00A70D6F"/>
    <w:rsid w:val="00A72424"/>
    <w:rsid w:val="00AC509C"/>
    <w:rsid w:val="00AD634F"/>
    <w:rsid w:val="00B34A4A"/>
    <w:rsid w:val="00B80865"/>
    <w:rsid w:val="00B954C8"/>
    <w:rsid w:val="00C64CFA"/>
    <w:rsid w:val="00CF5EC6"/>
    <w:rsid w:val="00D1087B"/>
    <w:rsid w:val="00D63E33"/>
    <w:rsid w:val="00D776A6"/>
    <w:rsid w:val="00DC10A8"/>
    <w:rsid w:val="00E0653B"/>
    <w:rsid w:val="00E2401B"/>
    <w:rsid w:val="00E30FBB"/>
    <w:rsid w:val="00E617E0"/>
    <w:rsid w:val="00E74CBA"/>
    <w:rsid w:val="00EA2200"/>
    <w:rsid w:val="00EF24ED"/>
    <w:rsid w:val="00F034C9"/>
    <w:rsid w:val="00F45EC5"/>
    <w:rsid w:val="00F524F1"/>
    <w:rsid w:val="00F676F2"/>
    <w:rsid w:val="00F936D6"/>
    <w:rsid w:val="00FA117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207D-7DB9-4552-943F-D4B77A6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72</cp:revision>
  <cp:lastPrinted>2021-07-12T09:13:00Z</cp:lastPrinted>
  <dcterms:created xsi:type="dcterms:W3CDTF">2020-04-07T05:18:00Z</dcterms:created>
  <dcterms:modified xsi:type="dcterms:W3CDTF">2022-01-11T05:14:00Z</dcterms:modified>
</cp:coreProperties>
</file>